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56" w:rsidRDefault="00072756" w:rsidP="000727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  <w:r>
        <w:rPr>
          <w:sz w:val="28"/>
          <w:szCs w:val="28"/>
        </w:rPr>
        <w:br/>
        <w:t>ИДРИНСКИЙ РАЙОН</w:t>
      </w:r>
    </w:p>
    <w:p w:rsidR="00072756" w:rsidRDefault="00072756" w:rsidP="00072756">
      <w:pPr>
        <w:spacing w:line="360" w:lineRule="auto"/>
        <w:jc w:val="center"/>
      </w:pPr>
      <w:r>
        <w:t>МАЙСКИЙ СЕЛЬСКИЙ СОВЕТ ДЕПУТАТОВ</w:t>
      </w:r>
    </w:p>
    <w:p w:rsidR="00072756" w:rsidRDefault="00072756" w:rsidP="00072756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072756" w:rsidRDefault="00117DC1" w:rsidP="00117DC1">
      <w:pPr>
        <w:pStyle w:val="3"/>
        <w:spacing w:line="360" w:lineRule="auto"/>
        <w:jc w:val="both"/>
      </w:pPr>
      <w:r>
        <w:t xml:space="preserve">                                                  </w:t>
      </w:r>
      <w:r w:rsidR="00072756">
        <w:t>РЕШЕНИЕ</w:t>
      </w:r>
    </w:p>
    <w:p w:rsidR="00072756" w:rsidRDefault="00072756" w:rsidP="00072756"/>
    <w:tbl>
      <w:tblPr>
        <w:tblW w:w="0" w:type="auto"/>
        <w:tblLook w:val="01E0" w:firstRow="1" w:lastRow="1" w:firstColumn="1" w:lastColumn="1" w:noHBand="0" w:noVBand="0"/>
      </w:tblPr>
      <w:tblGrid>
        <w:gridCol w:w="2882"/>
        <w:gridCol w:w="4482"/>
        <w:gridCol w:w="2207"/>
      </w:tblGrid>
      <w:tr w:rsidR="00072756" w:rsidTr="00072756">
        <w:tc>
          <w:tcPr>
            <w:tcW w:w="2987" w:type="dxa"/>
            <w:hideMark/>
          </w:tcPr>
          <w:p w:rsidR="00072756" w:rsidRDefault="00072756" w:rsidP="006723B5">
            <w:pPr>
              <w:spacing w:line="360" w:lineRule="auto"/>
              <w:ind w:firstLine="0"/>
            </w:pPr>
            <w:r>
              <w:t>0</w:t>
            </w:r>
            <w:r w:rsidR="006723B5">
              <w:t>2</w:t>
            </w:r>
            <w:r>
              <w:t>.02.2017</w:t>
            </w:r>
          </w:p>
        </w:tc>
        <w:tc>
          <w:tcPr>
            <w:tcW w:w="4722" w:type="dxa"/>
            <w:hideMark/>
          </w:tcPr>
          <w:p w:rsidR="00072756" w:rsidRDefault="00117DC1" w:rsidP="00117DC1">
            <w:pPr>
              <w:spacing w:line="360" w:lineRule="auto"/>
              <w:ind w:firstLine="0"/>
            </w:pPr>
            <w:r>
              <w:t xml:space="preserve">        </w:t>
            </w:r>
            <w:r w:rsidR="00072756">
              <w:t>с. Майское Утро</w:t>
            </w:r>
          </w:p>
        </w:tc>
        <w:tc>
          <w:tcPr>
            <w:tcW w:w="2299" w:type="dxa"/>
            <w:hideMark/>
          </w:tcPr>
          <w:p w:rsidR="00072756" w:rsidRDefault="00072756">
            <w:pPr>
              <w:spacing w:line="360" w:lineRule="auto"/>
              <w:ind w:firstLine="0"/>
            </w:pPr>
            <w:r>
              <w:t xml:space="preserve">№ </w:t>
            </w:r>
            <w:r w:rsidR="00117DC1">
              <w:t>ВН23-31-р</w:t>
            </w:r>
          </w:p>
        </w:tc>
      </w:tr>
    </w:tbl>
    <w:p w:rsidR="00072756" w:rsidRDefault="00072756" w:rsidP="00072756">
      <w:pPr>
        <w:ind w:firstLine="0"/>
      </w:pPr>
    </w:p>
    <w:p w:rsidR="00072756" w:rsidRDefault="00072756" w:rsidP="00072756">
      <w:pPr>
        <w:ind w:firstLine="0"/>
      </w:pPr>
      <w:r>
        <w:t>О внесение изменений в решение</w:t>
      </w:r>
    </w:p>
    <w:p w:rsidR="00072756" w:rsidRDefault="00072756" w:rsidP="00072756">
      <w:pPr>
        <w:ind w:firstLine="0"/>
      </w:pPr>
      <w:r>
        <w:t>Майского сельского Совета депутатов</w:t>
      </w:r>
    </w:p>
    <w:p w:rsidR="00072756" w:rsidRDefault="00756A60" w:rsidP="00072756">
      <w:pPr>
        <w:ind w:firstLine="0"/>
      </w:pPr>
      <w:r>
        <w:t xml:space="preserve">от 11.05.2012 №ВН-130 «О системах </w:t>
      </w:r>
    </w:p>
    <w:p w:rsidR="00B66954" w:rsidRDefault="00756A60" w:rsidP="00B66954">
      <w:pPr>
        <w:ind w:firstLine="0"/>
      </w:pPr>
      <w:r>
        <w:t xml:space="preserve">оплаты труда работников </w:t>
      </w:r>
      <w:r w:rsidR="00B66954">
        <w:t>муниципальных учреждений»</w:t>
      </w:r>
    </w:p>
    <w:p w:rsidR="00072756" w:rsidRDefault="00B66954" w:rsidP="00B66954">
      <w:pPr>
        <w:ind w:firstLine="0"/>
      </w:pPr>
      <w:r>
        <w:t xml:space="preserve">        </w:t>
      </w:r>
      <w:r>
        <w:br/>
        <w:t xml:space="preserve">       </w:t>
      </w:r>
      <w:r w:rsidR="00072756">
        <w:t>На основании Закона края от 29.10.2009 № 9-3864 «О системах оплаты труда работников краевых государственных учреждений», руководствуясь статьями 2</w:t>
      </w:r>
      <w:r w:rsidR="001D0C7B">
        <w:t>4</w:t>
      </w:r>
      <w:r w:rsidR="00072756">
        <w:t xml:space="preserve">,26 Устава </w:t>
      </w:r>
      <w:r>
        <w:t>Майского сельсовета</w:t>
      </w:r>
      <w:r w:rsidR="001D0C7B">
        <w:t xml:space="preserve"> Майский сельский</w:t>
      </w:r>
      <w:r w:rsidR="00072756">
        <w:t xml:space="preserve"> Совет депутатов РЕШИЛ:</w:t>
      </w:r>
    </w:p>
    <w:p w:rsidR="00072756" w:rsidRDefault="00072756" w:rsidP="00072756">
      <w:pPr>
        <w:spacing w:line="276" w:lineRule="auto"/>
        <w:ind w:firstLine="0"/>
      </w:pPr>
      <w:r>
        <w:t xml:space="preserve">1. Внести в Решение </w:t>
      </w:r>
      <w:r w:rsidR="001D0C7B">
        <w:t>Майского сельского</w:t>
      </w:r>
      <w:r>
        <w:t xml:space="preserve"> Совета депутатов от 1</w:t>
      </w:r>
      <w:r w:rsidR="001D0C7B">
        <w:t>1</w:t>
      </w:r>
      <w:r>
        <w:t>.0</w:t>
      </w:r>
      <w:r w:rsidR="001D0C7B">
        <w:t>5</w:t>
      </w:r>
      <w:r>
        <w:t>.201</w:t>
      </w:r>
      <w:r w:rsidR="001D0C7B">
        <w:t>2</w:t>
      </w:r>
      <w:r>
        <w:t xml:space="preserve"> № ВН-</w:t>
      </w:r>
      <w:r w:rsidR="001D0C7B">
        <w:t>130</w:t>
      </w:r>
      <w:r>
        <w:t xml:space="preserve">-р «О системах оплаты труда работников муниципальных  учреждений» следующие изменения и дополнения: </w:t>
      </w:r>
    </w:p>
    <w:p w:rsidR="00072756" w:rsidRDefault="00072756" w:rsidP="000727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1.6 дополнить  подпунктом 1.6.14 следующего содержания: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«1.6.14. </w:t>
      </w:r>
      <w:proofErr w:type="gramStart"/>
      <w:r>
        <w:rPr>
          <w:rFonts w:ascii="Times New Roman" w:hAnsi="Times New Roman"/>
          <w:sz w:val="28"/>
          <w:szCs w:val="28"/>
        </w:rPr>
        <w:t>Предельный уровень соотношения среднемесячной заработной платы руководителей, их заместителей и главных бухгалтеров районных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органом местного самоуправления, осуществляющим функции и полномочия  учредителя соответствующих учреждений, в размере, не превышающем размера, установленного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="001D0C7B">
        <w:rPr>
          <w:rFonts w:ascii="Times New Roman" w:hAnsi="Times New Roman"/>
          <w:sz w:val="28"/>
          <w:szCs w:val="28"/>
        </w:rPr>
        <w:t>Майского сельсовета</w:t>
      </w:r>
      <w:r>
        <w:rPr>
          <w:rFonts w:ascii="Times New Roman" w:hAnsi="Times New Roman"/>
          <w:sz w:val="28"/>
          <w:szCs w:val="28"/>
        </w:rPr>
        <w:t xml:space="preserve"> в примерных положениях об оплате труда в кратности до </w:t>
      </w:r>
      <w:r w:rsidR="001D0C7B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>.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среднемесячной заработной платы руководителей, заместителей руководителей, главных бухгалтеров </w:t>
      </w:r>
      <w:r w:rsidR="00D64DBE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</w:t>
      </w:r>
      <w:r w:rsidR="00D64DBE">
        <w:rPr>
          <w:rFonts w:ascii="Times New Roman" w:hAnsi="Times New Roman"/>
          <w:sz w:val="28"/>
          <w:szCs w:val="28"/>
        </w:rPr>
        <w:t>муниципальног</w:t>
      </w:r>
      <w:r>
        <w:rPr>
          <w:rFonts w:ascii="Times New Roman" w:hAnsi="Times New Roman"/>
          <w:sz w:val="28"/>
          <w:szCs w:val="28"/>
        </w:rPr>
        <w:t xml:space="preserve">о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</w:t>
      </w:r>
      <w:r>
        <w:rPr>
          <w:rFonts w:ascii="Times New Roman" w:hAnsi="Times New Roman"/>
          <w:sz w:val="28"/>
          <w:szCs w:val="28"/>
        </w:rPr>
        <w:lastRenderedPageBreak/>
        <w:t xml:space="preserve">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исчисления среднемесячной заработной платы руководителей, заместителей руководителей, главных бухгалтеров муниципальных учреждений, 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руководителя, заместителей руководителя, главного бухгалтера) в целях определения предельного уровня их соотношения: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среднемесячная заработная плата работников учреждений (без учета заработной платы руководителя, заместителей руководителя, главного бухгалтера) определяется путем деления суммы фактически начисленной заработной платы (включая выплаты, предусмотренные пунктом 2 Положения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платы") таких работников списочного состава (без учета руководителя</w:t>
      </w:r>
      <w:proofErr w:type="gramEnd"/>
      <w:r>
        <w:rPr>
          <w:rFonts w:ascii="Times New Roman" w:hAnsi="Times New Roman"/>
          <w:sz w:val="28"/>
          <w:szCs w:val="28"/>
        </w:rPr>
        <w:t>, заместителей руководителя, главного бухгалтера) на среднесписочную численность таких работников (без учета руководителя, заместителей руководителя, главного бухгалтера) за соответствующий календарный год и деления на 12 (количество месяцев в году). Определение среднесписочной численности указанных работников за соответствующий календарный год осуществляется в соответствии с методикой, используемой для целей статистического наблюдения;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среднемесячная заработная плата руководителя, заместителя руководителя, главного бухгалтера учреждения определяется путем деления суммы фактически начисленной заработной платы (включая выплаты, предусмотренные пунктом 2 Положения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платы") соответствующему руководителю, заместителю руководителя, главному бухгалтеру за календарный год на 12 (количество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месяцев в году). </w:t>
      </w:r>
      <w:proofErr w:type="gramStart"/>
      <w:r>
        <w:rPr>
          <w:rFonts w:ascii="Times New Roman" w:hAnsi="Times New Roman"/>
          <w:sz w:val="28"/>
          <w:szCs w:val="28"/>
        </w:rPr>
        <w:t>Если руководитель, заместитель руководителя, главный бухгалтер учреждения состоял в трудовых отношениях с учреждением неполный календарный год, то среднемесячная заработная плата определяется исходя из фактически отработанных соответствующим руководителем, заместителем руководителя, главным бухгалтером полных календарных месяцев.</w:t>
      </w:r>
      <w:proofErr w:type="gramEnd"/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среднемесячной заработной платы руководителя, заместителей руководителя, главного бухгалтера учреждения осуществляется отдельно по </w:t>
      </w:r>
      <w:r>
        <w:rPr>
          <w:rFonts w:ascii="Times New Roman" w:hAnsi="Times New Roman"/>
          <w:sz w:val="28"/>
          <w:szCs w:val="28"/>
        </w:rPr>
        <w:lastRenderedPageBreak/>
        <w:t>должностям руководителя, главного бухгалтера и по каждой должности заместителя руководителя.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фактической начисленной заработной плате для определения среднемесячной заработной платы, рассчитываемой в соответствии с абзацами первым - третьим пункта 20 Положения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платы", не учитываются выплаты, предусмотренные пунктом 3 указанного Положения, компенсации, выплачиваемые при прекращении трудового договора,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за неиспользованный отпуск.</w:t>
      </w:r>
    </w:p>
    <w:p w:rsidR="00072756" w:rsidRDefault="00072756" w:rsidP="000727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случаях выполнения руководителем, заместителями руководителя, главным бухгалтером работы по совмещению должностей (профессий)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суммы, начисленные как по основной должности (профессии), так и по совмещаемой должности (профессии), а также начисленные за исполнение обязанностей временно отсутствующего работника без освобождения от основной работы.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руководителя, заместителя руководителя, главного бухгалтера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72756" w:rsidRDefault="00072756" w:rsidP="000727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78"/>
      <w:bookmarkEnd w:id="0"/>
      <w:r>
        <w:rPr>
          <w:rFonts w:ascii="Times New Roman" w:hAnsi="Times New Roman"/>
          <w:sz w:val="28"/>
          <w:szCs w:val="28"/>
        </w:rPr>
        <w:t>2) пункт 1.7.1 дополнить подпунктом 2.1. следующего содержания: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proofErr w:type="gramStart"/>
      <w:r>
        <w:rPr>
          <w:rFonts w:ascii="Times New Roman" w:hAnsi="Times New Roman"/>
          <w:sz w:val="28"/>
          <w:szCs w:val="28"/>
        </w:rPr>
        <w:t>Предельный уровень соотношения среднемесячной заработной платы руководителей муниципальных автономных учреждений, их заместителей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органом местного самоуправления, осуществляющим функции и полномочия учредителя соответствующего муниципального автономного учреждения, в размере, 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превышающем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размера, установленного Администрацией </w:t>
      </w:r>
      <w:r w:rsidR="00D64DBE">
        <w:rPr>
          <w:rFonts w:ascii="Times New Roman" w:hAnsi="Times New Roman"/>
          <w:sz w:val="28"/>
          <w:szCs w:val="28"/>
        </w:rPr>
        <w:t xml:space="preserve">Майского сельсовета в кратности до 1,15. 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среднемесячной заработной платы руководителей, заместителей руководителей, главных бухгалтеров муниципальных автономных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автономного учреждения и среднемесячной заработной платы работников учреждения определяется путем деления среднемесячной заработной платы соответствующего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исчисления среднемесячной заработной платы руководителей, заместителей руководителей, главных бухгалтеров муниципальных автономных учреждений, 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руководителя, заместителей руководителя, главного бухгалтера) в целях определения предельного уровня их соотношения: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среднемесячная заработная плата работников автономных учреждений (без учета заработной платы руководителя, заместителей руководителя, главного бухгалтера) определяется путем деления суммы фактически начисленной заработной платы (включая выплаты, предусмотренные пунктом 2 Положения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платы") таких работников списочного состава (без учета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руководителя, заместителей руководителя, главного бухгалтера) на среднесписочную численность таких работников (без учета руководителя, заместителей руководителя, главного бухгалтера) за соответствующий календарный год и деления на 12 (количество месяцев в году). Определение среднесписочной численности указанных работников за соответствующий календарный год осуществляется в соответствии с методикой, используемой для целей статистического наблюдения;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среднемесячная заработная плата руководителя, заместителя руководителя, главного бухгалтера автономного учреждения определяется путем деления суммы фактически начисленной заработной платы (включая выплаты, предусмотренные пунктом 2 Положения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платы") соответствующему руководителю, заместителю руководителя, главному бухгалтеру за календарный год на 12</w:t>
      </w:r>
      <w:proofErr w:type="gramEnd"/>
      <w:r>
        <w:rPr>
          <w:rFonts w:ascii="Times New Roman" w:hAnsi="Times New Roman"/>
          <w:sz w:val="28"/>
          <w:szCs w:val="28"/>
        </w:rPr>
        <w:t xml:space="preserve"> (количество месяцев в году). </w:t>
      </w:r>
      <w:proofErr w:type="gramStart"/>
      <w:r>
        <w:rPr>
          <w:rFonts w:ascii="Times New Roman" w:hAnsi="Times New Roman"/>
          <w:sz w:val="28"/>
          <w:szCs w:val="28"/>
        </w:rPr>
        <w:t>Если руководитель, заместитель руководителя, главный бухгалтер автономного учреждения состоял в трудовых отношениях с учреждением неполный календарный год, то среднемесячная заработная плата определяется исходя из фактически отработанных соответствующим руководителем, заместителем руководителя, главным бухгалтером полных календарных месяцев.</w:t>
      </w:r>
      <w:proofErr w:type="gramEnd"/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среднемесячной заработной платы руководителя, заместителей руководителя, главного бухгалтера автономного учреждения осуществляется отдельно по должностям руководителя, главного бухгалтера и по каждой должности заместителя руководителя.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фактической начисленной заработной плате для определения среднемесячной заработной платы, рассчитываемой в соответствии с абзацами первым - третьим пункта 20 Положения об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платы", не учитываются выплаты, предусмотренные пунктом 3 указанного Положения, компенсации, выплачиваемые при прекращении трудового договора,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за неиспользованный отпуск.</w:t>
      </w:r>
    </w:p>
    <w:p w:rsidR="00072756" w:rsidRDefault="00072756" w:rsidP="00072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случаях выполнения руководителем, заместителями руководителя, главным бухгалтером работы по совмещению должностей (профессий)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суммы, начисленные как по основной должности (профессии), так и по совмещаемой должности (профессии), а также начисленные за исполнение обязанностей временно отсутствующего работника без освобождения от основной работы.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руководителя, заместителя руководителя, главного бухгалтера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072756" w:rsidRDefault="00072756" w:rsidP="000727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дополнить пунктом 1.7.2 следующего содержания:</w:t>
      </w:r>
    </w:p>
    <w:p w:rsidR="00072756" w:rsidRDefault="00072756" w:rsidP="000727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41304">
        <w:rPr>
          <w:rFonts w:ascii="Times New Roman" w:hAnsi="Times New Roman"/>
          <w:sz w:val="28"/>
          <w:szCs w:val="28"/>
        </w:rPr>
        <w:t xml:space="preserve">«1.7.2.Размещение информации о среднемесячной заработной плате </w:t>
      </w:r>
      <w:r>
        <w:rPr>
          <w:rFonts w:ascii="Times New Roman" w:hAnsi="Times New Roman"/>
          <w:sz w:val="28"/>
          <w:szCs w:val="28"/>
        </w:rPr>
        <w:t xml:space="preserve">руководителей, их заместителей и главных бухгалтеров учреждений </w:t>
      </w:r>
    </w:p>
    <w:p w:rsidR="00072756" w:rsidRDefault="00072756" w:rsidP="0007275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бюджетных, казенных и автономных учреждений размещается в информационно-телекоммуникационной сети Интернет на официальных сайтах органов местного самоуправления, осуществляющих функции и полномочия учредителя соответствующих учреждений.</w:t>
      </w:r>
    </w:p>
    <w:p w:rsidR="00690C70" w:rsidRPr="00690C70" w:rsidRDefault="00072756" w:rsidP="00690C70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бюджетных, казенных и автономных учреждений и представления указанными лицами данной информации устанавливается Администрацией </w:t>
      </w:r>
      <w:r w:rsidR="00D64DBE">
        <w:rPr>
          <w:rFonts w:ascii="Times New Roman" w:hAnsi="Times New Roman"/>
          <w:sz w:val="28"/>
          <w:szCs w:val="28"/>
        </w:rPr>
        <w:t>Майского сельсовета</w:t>
      </w:r>
      <w:r>
        <w:rPr>
          <w:rFonts w:ascii="Times New Roman" w:hAnsi="Times New Roman"/>
          <w:sz w:val="28"/>
          <w:szCs w:val="28"/>
        </w:rPr>
        <w:t>, если иное не предусмотрено краевым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690C70" w:rsidRPr="00690C70">
        <w:t xml:space="preserve"> </w:t>
      </w:r>
      <w:r w:rsidR="00690C70">
        <w:br/>
      </w:r>
      <w:bookmarkStart w:id="1" w:name="_GoBack"/>
      <w:bookmarkEnd w:id="1"/>
      <w:proofErr w:type="gramEnd"/>
      <w:r w:rsidR="00690C70" w:rsidRPr="00690C70">
        <w:t xml:space="preserve">1)   в </w:t>
      </w:r>
      <w:hyperlink r:id="rId8" w:history="1">
        <w:r w:rsidR="00690C70" w:rsidRPr="00690C70">
          <w:rPr>
            <w:color w:val="0000FF"/>
          </w:rPr>
          <w:t>приложении 4</w:t>
        </w:r>
      </w:hyperlink>
      <w:r w:rsidR="00690C70" w:rsidRPr="00690C70">
        <w:t>:</w:t>
      </w:r>
    </w:p>
    <w:p w:rsidR="00690C70" w:rsidRPr="00690C70" w:rsidRDefault="00690C70" w:rsidP="00690C70">
      <w:pPr>
        <w:autoSpaceDE w:val="0"/>
        <w:autoSpaceDN w:val="0"/>
        <w:adjustRightInd w:val="0"/>
        <w:spacing w:line="276" w:lineRule="auto"/>
        <w:ind w:firstLine="540"/>
      </w:pPr>
      <w:r w:rsidRPr="00690C70">
        <w:t xml:space="preserve">а) </w:t>
      </w:r>
      <w:hyperlink r:id="rId9" w:history="1">
        <w:r w:rsidRPr="00690C70">
          <w:rPr>
            <w:color w:val="0000FF"/>
          </w:rPr>
          <w:t xml:space="preserve"> </w:t>
        </w:r>
      </w:hyperlink>
      <w:r w:rsidRPr="00690C70">
        <w:t xml:space="preserve"> изложить в следующей редакции:</w:t>
      </w:r>
    </w:p>
    <w:p w:rsidR="00690C70" w:rsidRPr="00690C70" w:rsidRDefault="00690C70" w:rsidP="00690C70">
      <w:pPr>
        <w:autoSpaceDE w:val="0"/>
        <w:autoSpaceDN w:val="0"/>
        <w:adjustRightInd w:val="0"/>
        <w:ind w:firstLine="540"/>
        <w:outlineLvl w:val="0"/>
      </w:pPr>
    </w:p>
    <w:p w:rsidR="00690C70" w:rsidRPr="00690C70" w:rsidRDefault="00690C70" w:rsidP="00690C70">
      <w:pPr>
        <w:autoSpaceDE w:val="0"/>
        <w:autoSpaceDN w:val="0"/>
        <w:adjustRightInd w:val="0"/>
        <w:ind w:firstLine="540"/>
      </w:pPr>
      <w:r w:rsidRPr="00690C70">
        <w:t>таблицу в пункте 3 изложить в следующей редакции: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9"/>
        <w:gridCol w:w="1190"/>
        <w:gridCol w:w="1502"/>
        <w:gridCol w:w="1418"/>
        <w:gridCol w:w="1276"/>
      </w:tblGrid>
      <w:tr w:rsidR="00690C70" w:rsidRPr="00690C70" w:rsidTr="00690C7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Показатели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 xml:space="preserve">Группы по оплате труда руководителей </w:t>
            </w:r>
            <w:r w:rsidRPr="00690C70">
              <w:rPr>
                <w:lang w:eastAsia="en-US"/>
              </w:rPr>
              <w:lastRenderedPageBreak/>
              <w:t>учреждений</w:t>
            </w:r>
          </w:p>
        </w:tc>
      </w:tr>
      <w:tr w:rsidR="00690C70" w:rsidRPr="00690C70" w:rsidTr="00690C7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0" w:rsidRPr="00690C70" w:rsidRDefault="00690C70" w:rsidP="00690C70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IV</w:t>
            </w:r>
          </w:p>
        </w:tc>
      </w:tr>
      <w:tr w:rsidR="00690C70" w:rsidRPr="00690C70" w:rsidTr="00690C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Количество массовых мероприятий, 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свыше 750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свыше 220 до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свыше 170 до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от 100 до 170</w:t>
            </w:r>
          </w:p>
        </w:tc>
      </w:tr>
      <w:tr w:rsidR="00690C70" w:rsidRPr="00690C70" w:rsidTr="00690C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Количество постоянно действующих в течение года клубных формирований, 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свыше 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свыше 30 до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свыше 15 до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от 8 до 15</w:t>
            </w:r>
          </w:p>
        </w:tc>
      </w:tr>
    </w:tbl>
    <w:p w:rsidR="00690C70" w:rsidRPr="00690C70" w:rsidRDefault="00690C70" w:rsidP="00690C70">
      <w:pPr>
        <w:autoSpaceDE w:val="0"/>
        <w:autoSpaceDN w:val="0"/>
        <w:adjustRightInd w:val="0"/>
        <w:ind w:firstLine="540"/>
      </w:pPr>
    </w:p>
    <w:p w:rsidR="00690C70" w:rsidRPr="00690C70" w:rsidRDefault="00690C70" w:rsidP="00690C70">
      <w:pPr>
        <w:widowControl w:val="0"/>
        <w:autoSpaceDE w:val="0"/>
        <w:autoSpaceDN w:val="0"/>
        <w:spacing w:line="276" w:lineRule="auto"/>
        <w:ind w:firstLine="540"/>
      </w:pPr>
      <w:r w:rsidRPr="00690C70">
        <w:t>2) в приложении 8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643"/>
        <w:gridCol w:w="1643"/>
        <w:gridCol w:w="1643"/>
        <w:gridCol w:w="1645"/>
      </w:tblGrid>
      <w:tr w:rsidR="00690C70" w:rsidRPr="00690C70" w:rsidTr="00690C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Показатели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Группы по оплате труда руководителей учреждений</w:t>
            </w:r>
          </w:p>
        </w:tc>
      </w:tr>
      <w:tr w:rsidR="00690C70" w:rsidRPr="00690C70" w:rsidTr="00690C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0" w:rsidRPr="00690C70" w:rsidRDefault="00690C70" w:rsidP="00690C70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IV</w:t>
            </w:r>
          </w:p>
        </w:tc>
      </w:tr>
      <w:tr w:rsidR="00690C70" w:rsidRPr="00690C70" w:rsidTr="00690C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90C70">
              <w:rPr>
                <w:lang w:eastAsia="en-US"/>
              </w:rPr>
              <w:t>Численность работников в учреждении, чел.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90C70">
              <w:rPr>
                <w:lang w:eastAsia="en-US"/>
              </w:rPr>
              <w:t>свыше 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31 - 50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0C70">
              <w:rPr>
                <w:lang w:eastAsia="en-US"/>
              </w:rPr>
              <w:t>5 - 30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70" w:rsidRPr="00690C70" w:rsidRDefault="00690C70" w:rsidP="00690C70">
            <w:pPr>
              <w:widowControl w:val="0"/>
              <w:autoSpaceDE w:val="0"/>
              <w:autoSpaceDN w:val="0"/>
              <w:spacing w:line="276" w:lineRule="auto"/>
              <w:ind w:firstLine="33"/>
              <w:rPr>
                <w:lang w:eastAsia="en-US"/>
              </w:rPr>
            </w:pPr>
            <w:r w:rsidRPr="00690C70">
              <w:rPr>
                <w:lang w:eastAsia="en-US"/>
              </w:rPr>
              <w:t>менее 5</w:t>
            </w:r>
          </w:p>
        </w:tc>
      </w:tr>
    </w:tbl>
    <w:p w:rsidR="00690C70" w:rsidRPr="00690C70" w:rsidRDefault="00690C70" w:rsidP="00690C70">
      <w:pPr>
        <w:autoSpaceDE w:val="0"/>
        <w:autoSpaceDN w:val="0"/>
        <w:adjustRightInd w:val="0"/>
        <w:ind w:firstLine="540"/>
      </w:pPr>
    </w:p>
    <w:p w:rsidR="00690C70" w:rsidRPr="00690C70" w:rsidRDefault="00690C70" w:rsidP="00690C70">
      <w:pPr>
        <w:autoSpaceDE w:val="0"/>
        <w:autoSpaceDN w:val="0"/>
        <w:adjustRightInd w:val="0"/>
        <w:spacing w:line="276" w:lineRule="auto"/>
        <w:ind w:firstLine="540"/>
        <w:rPr>
          <w:color w:val="FF0000"/>
        </w:rPr>
      </w:pPr>
      <w:r w:rsidRPr="00690C70">
        <w:t>2.</w:t>
      </w:r>
      <w:proofErr w:type="gramStart"/>
      <w:r w:rsidRPr="00690C70">
        <w:t>Контроль за</w:t>
      </w:r>
      <w:proofErr w:type="gramEnd"/>
      <w:r w:rsidRPr="00690C70">
        <w:t xml:space="preserve"> выполнением Решения возлагаю на себя.</w:t>
      </w:r>
      <w:r w:rsidRPr="00690C70">
        <w:br/>
        <w:t xml:space="preserve">        3. Настоящее Решение подлежит, размещению на официальном сайте Майского сельсовета и применяется к правоотношениям, возникшим с 01.01.2017 года</w:t>
      </w:r>
      <w:r w:rsidRPr="00690C70">
        <w:rPr>
          <w:color w:val="002060"/>
        </w:rPr>
        <w:t xml:space="preserve">.                                                                                                       Председатель </w:t>
      </w:r>
      <w:proofErr w:type="gramStart"/>
      <w:r w:rsidRPr="00690C70">
        <w:rPr>
          <w:color w:val="002060"/>
        </w:rPr>
        <w:t>Майского</w:t>
      </w:r>
      <w:proofErr w:type="gramEnd"/>
      <w:r w:rsidRPr="00690C70">
        <w:rPr>
          <w:color w:val="002060"/>
        </w:rPr>
        <w:t xml:space="preserve"> </w:t>
      </w:r>
    </w:p>
    <w:p w:rsidR="00690C70" w:rsidRPr="00690C70" w:rsidRDefault="00690C70" w:rsidP="00690C70">
      <w:pPr>
        <w:ind w:firstLine="0"/>
      </w:pPr>
      <w:r w:rsidRPr="00690C70">
        <w:rPr>
          <w:color w:val="002060"/>
        </w:rPr>
        <w:t xml:space="preserve">Сельского Совета депутатов                                                           </w:t>
      </w:r>
      <w:proofErr w:type="spellStart"/>
      <w:r w:rsidRPr="00690C70">
        <w:rPr>
          <w:color w:val="002060"/>
        </w:rPr>
        <w:t>С.В.</w:t>
      </w:r>
      <w:proofErr w:type="gramStart"/>
      <w:r w:rsidRPr="00690C70">
        <w:rPr>
          <w:color w:val="002060"/>
        </w:rPr>
        <w:t>Митин</w:t>
      </w:r>
      <w:proofErr w:type="spellEnd"/>
      <w:proofErr w:type="gramEnd"/>
    </w:p>
    <w:p w:rsidR="00072756" w:rsidRDefault="00072756" w:rsidP="000727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7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A0"/>
    <w:rsid w:val="00072756"/>
    <w:rsid w:val="00117DC1"/>
    <w:rsid w:val="001D0C7B"/>
    <w:rsid w:val="00341304"/>
    <w:rsid w:val="006723B5"/>
    <w:rsid w:val="006759A0"/>
    <w:rsid w:val="00690C70"/>
    <w:rsid w:val="00756A60"/>
    <w:rsid w:val="007B7FF8"/>
    <w:rsid w:val="00820448"/>
    <w:rsid w:val="00B66954"/>
    <w:rsid w:val="00B74485"/>
    <w:rsid w:val="00D11F23"/>
    <w:rsid w:val="00D64DBE"/>
    <w:rsid w:val="00E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2756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72756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75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2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72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72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2756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72756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75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2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72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7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BABE96FE2C479CE7653CBE7AC4C921EC4540D0D1CB51F34558B1C45B837758FDFC012CA97722DB32BF593n5o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DCB9FCA1F6ABD08C76B00E6E6F7ABFF26ADA9506389CDFE938E90F74B3257738D56C22440FCBDDu2h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DCB9FCA1F6ABD08C76B00E6E6F7ABFF26ADA9506389CDFE938E90F74B3257738D56C22440FCBDDu2h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BABE96FE2C479CE7653CBE7AC4C921EC4540D0D1CB51F34558B1C45B837758FDFC012CA97722DB32BF491n5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2017-02-06T06:49:00Z</dcterms:created>
  <dcterms:modified xsi:type="dcterms:W3CDTF">2017-02-09T01:13:00Z</dcterms:modified>
</cp:coreProperties>
</file>